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B6" w:rsidRPr="0060200B" w:rsidRDefault="0060200B">
      <w:pPr>
        <w:spacing w:after="0" w:line="240" w:lineRule="auto"/>
        <w:ind w:right="20" w:firstLine="700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  <w:r w:rsidRPr="0060200B">
        <w:rPr>
          <w:rFonts w:ascii="Times New Roman" w:eastAsia="Times New Roman" w:hAnsi="Times New Roman" w:cs="Times New Roman"/>
          <w:b/>
          <w:spacing w:val="5"/>
          <w:sz w:val="28"/>
        </w:rPr>
        <w:t xml:space="preserve">Правоприменительная практика в сфере </w:t>
      </w:r>
      <w:r w:rsidR="00DD0004">
        <w:rPr>
          <w:rFonts w:ascii="Times New Roman" w:eastAsia="Times New Roman" w:hAnsi="Times New Roman" w:cs="Times New Roman"/>
          <w:b/>
          <w:spacing w:val="5"/>
          <w:sz w:val="28"/>
        </w:rPr>
        <w:t xml:space="preserve">законодательства об осуществлении </w:t>
      </w:r>
      <w:r w:rsidRPr="0060200B">
        <w:rPr>
          <w:rFonts w:ascii="Times New Roman" w:hAnsi="Times New Roman" w:cs="Times New Roman"/>
          <w:b/>
          <w:sz w:val="28"/>
          <w:szCs w:val="28"/>
        </w:rPr>
        <w:t xml:space="preserve">технологического присоединения </w:t>
      </w:r>
      <w:proofErr w:type="spellStart"/>
      <w:r w:rsidRPr="0060200B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60200B">
        <w:rPr>
          <w:rFonts w:ascii="Times New Roman" w:hAnsi="Times New Roman" w:cs="Times New Roman"/>
          <w:b/>
          <w:sz w:val="28"/>
          <w:szCs w:val="28"/>
        </w:rPr>
        <w:t xml:space="preserve"> устройств потребителей к электрическим сетям</w:t>
      </w:r>
    </w:p>
    <w:p w:rsidR="00825248" w:rsidRDefault="00825248">
      <w:pPr>
        <w:spacing w:after="0" w:line="240" w:lineRule="auto"/>
        <w:ind w:right="20" w:firstLine="700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</w:p>
    <w:p w:rsidR="007660F9" w:rsidRPr="00B73554" w:rsidRDefault="007660F9" w:rsidP="00B73554">
      <w:pPr>
        <w:pStyle w:val="2"/>
        <w:spacing w:after="0" w:line="360" w:lineRule="auto"/>
        <w:ind w:firstLine="680"/>
        <w:jc w:val="both"/>
        <w:rPr>
          <w:sz w:val="28"/>
          <w:szCs w:val="28"/>
        </w:rPr>
      </w:pPr>
      <w:r w:rsidRPr="00B73554">
        <w:rPr>
          <w:sz w:val="28"/>
          <w:szCs w:val="28"/>
        </w:rPr>
        <w:t>Технологическое присоединение к объектам электросетевого хозяйства энергопринимающих устройств потребителей электрической энергии осуществляется в </w:t>
      </w:r>
      <w:hyperlink r:id="rId7" w:history="1">
        <w:r w:rsidRPr="00B73554">
          <w:rPr>
            <w:sz w:val="28"/>
            <w:szCs w:val="28"/>
          </w:rPr>
          <w:t>порядке</w:t>
        </w:r>
      </w:hyperlink>
      <w:r w:rsidRPr="00B73554">
        <w:rPr>
          <w:sz w:val="28"/>
          <w:szCs w:val="28"/>
        </w:rPr>
        <w:t>, установленном Правительством Российской Федерации, и носит однократный характер (часть 1 статьи 26 Закона об электроэнергетики).</w:t>
      </w:r>
    </w:p>
    <w:p w:rsidR="001C2C73" w:rsidRPr="00B73554" w:rsidRDefault="001C2C73" w:rsidP="00B73554">
      <w:pPr>
        <w:pStyle w:val="2"/>
        <w:spacing w:after="0" w:line="360" w:lineRule="auto"/>
        <w:ind w:firstLine="680"/>
        <w:jc w:val="both"/>
        <w:rPr>
          <w:sz w:val="28"/>
          <w:szCs w:val="28"/>
        </w:rPr>
      </w:pPr>
      <w:r w:rsidRPr="00B73554">
        <w:rPr>
          <w:sz w:val="28"/>
          <w:szCs w:val="28"/>
        </w:rPr>
        <w:t xml:space="preserve">Порядок и особенности технологического присоединения энергопринимающих устройств потребителей к электрическим сетям определены Правилами технологического присоединения, утвержденными постановлением Правительства РФ от 27.12.2004 г. № 861 (далее – Правила </w:t>
      </w:r>
      <w:r w:rsidR="00C759E7" w:rsidRPr="00B73554">
        <w:rPr>
          <w:sz w:val="28"/>
          <w:szCs w:val="28"/>
        </w:rPr>
        <w:t xml:space="preserve">            </w:t>
      </w:r>
      <w:r w:rsidRPr="00B73554">
        <w:rPr>
          <w:sz w:val="28"/>
          <w:szCs w:val="28"/>
        </w:rPr>
        <w:t>№ 861).</w:t>
      </w:r>
    </w:p>
    <w:p w:rsidR="00EC20E1" w:rsidRPr="00B73554" w:rsidRDefault="00EC20E1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соответствии с пунктом 2 Правил №861 Федеральная антимонопольная служба является уполномоченным федеральным органом исполнительной власти по обеспечению контроля за соблюдением правил технологического присоединения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563BCB" w:rsidRPr="00B73554" w:rsidRDefault="00563BCB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Согласно Разъяснениям № 7 Президиума ФАС России «Порядок применения закона о защите конкуренции с учетом правил технологического присоединения, правил недискриминационного доступа, правил подключения и законодательства о теплоснабжении» при поступлении в антимонопольный орган заявления о нарушении антимонопольного законодательства, подготовленного в соответствии со </w:t>
      </w:r>
      <w:hyperlink r:id="rId8" w:history="1">
        <w:r w:rsidRPr="00B73554">
          <w:rPr>
            <w:rFonts w:ascii="Times New Roman" w:eastAsia="Times New Roman" w:hAnsi="Times New Roman" w:cs="Times New Roman"/>
            <w:sz w:val="28"/>
            <w:szCs w:val="28"/>
          </w:rPr>
          <w:t>статьей 44</w:t>
        </w:r>
      </w:hyperlink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 Закона о защите конкуренции, но содержащего данные, указывающие на наличие события административного правонарушения, ответственность за совершение которого предусмотрена </w:t>
      </w:r>
      <w:hyperlink r:id="rId9" w:history="1">
        <w:r w:rsidRPr="00B73554">
          <w:rPr>
            <w:rFonts w:ascii="Times New Roman" w:eastAsia="Times New Roman" w:hAnsi="Times New Roman" w:cs="Times New Roman"/>
            <w:sz w:val="28"/>
            <w:szCs w:val="28"/>
          </w:rPr>
          <w:t>статьей 9.21</w:t>
        </w:r>
      </w:hyperlink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 от 30.12.2001 №195-ФЗ (далее – КоАП </w:t>
      </w:r>
      <w:r w:rsidRPr="00B7355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РФ), данное обращение подлежит квалификации в соответствии с </w:t>
      </w:r>
      <w:hyperlink r:id="rId10" w:history="1">
        <w:r w:rsidRPr="00B73554">
          <w:rPr>
            <w:rFonts w:ascii="Times New Roman" w:eastAsia="Times New Roman" w:hAnsi="Times New Roman" w:cs="Times New Roman"/>
            <w:sz w:val="28"/>
            <w:szCs w:val="28"/>
          </w:rPr>
          <w:t>пунктом 3 части 1 статьи 28.1</w:t>
        </w:r>
      </w:hyperlink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 КоАП как заявление, содержащее данные, указывающие на наличие события административного правонарушения.</w:t>
      </w:r>
    </w:p>
    <w:p w:rsidR="00563BCB" w:rsidRPr="00B73554" w:rsidRDefault="00563BCB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антимонопольным органом сообщений, заявлений, обращений о нарушении Правил технологического присоединения, Правил недискриминационного доступа, Правил подключения или самостоятельного выявления совершения административного правонарушения, ответственность за которое предусмотрена </w:t>
      </w:r>
      <w:hyperlink r:id="rId11" w:history="1">
        <w:r w:rsidRPr="00B73554">
          <w:rPr>
            <w:rFonts w:ascii="Times New Roman" w:eastAsia="Times New Roman" w:hAnsi="Times New Roman" w:cs="Times New Roman"/>
            <w:sz w:val="28"/>
            <w:szCs w:val="28"/>
          </w:rPr>
          <w:t>статьей 9.21</w:t>
        </w:r>
      </w:hyperlink>
      <w:r w:rsidRPr="00B73554">
        <w:rPr>
          <w:rFonts w:ascii="Times New Roman" w:eastAsia="Times New Roman" w:hAnsi="Times New Roman" w:cs="Times New Roman"/>
          <w:sz w:val="28"/>
          <w:szCs w:val="28"/>
        </w:rPr>
        <w:t xml:space="preserve"> КоАП, антимонопольный орган обязан составить протокол или принять решение о возбуждении дела об административном правонарушении и проведении административного расследования.</w:t>
      </w:r>
    </w:p>
    <w:p w:rsidR="00EC20E1" w:rsidRPr="00B73554" w:rsidRDefault="00B87BB6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Так в Пензенское УФАС России за 2022 год обращений по вопросу нарушения Порядка подключения к электрическим сетям поступило </w:t>
      </w:r>
      <w:r w:rsidR="00F87F17">
        <w:rPr>
          <w:rFonts w:ascii="Times New Roman" w:hAnsi="Times New Roman" w:cs="Times New Roman"/>
          <w:sz w:val="28"/>
          <w:szCs w:val="28"/>
        </w:rPr>
        <w:t>25</w:t>
      </w:r>
      <w:r w:rsidRPr="00B73554">
        <w:rPr>
          <w:rFonts w:ascii="Times New Roman" w:hAnsi="Times New Roman" w:cs="Times New Roman"/>
          <w:sz w:val="28"/>
          <w:szCs w:val="28"/>
        </w:rPr>
        <w:t xml:space="preserve">, за истекший период 2023 г. -  </w:t>
      </w:r>
      <w:r w:rsidR="00F87F17">
        <w:rPr>
          <w:rFonts w:ascii="Times New Roman" w:hAnsi="Times New Roman" w:cs="Times New Roman"/>
          <w:sz w:val="28"/>
          <w:szCs w:val="28"/>
        </w:rPr>
        <w:t>68</w:t>
      </w:r>
      <w:r w:rsidRPr="00B73554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B87BB6" w:rsidRPr="00B73554" w:rsidRDefault="00B87BB6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0200B" w:rsidRPr="00B73554">
        <w:rPr>
          <w:rFonts w:ascii="Times New Roman" w:hAnsi="Times New Roman" w:cs="Times New Roman"/>
          <w:sz w:val="28"/>
          <w:szCs w:val="28"/>
        </w:rPr>
        <w:t xml:space="preserve">рассмотрения обращений в 2022 году дел об административных правонарушениях </w:t>
      </w:r>
      <w:r w:rsidR="00FB167D" w:rsidRPr="00B73554">
        <w:rPr>
          <w:rFonts w:ascii="Times New Roman" w:hAnsi="Times New Roman" w:cs="Times New Roman"/>
          <w:sz w:val="28"/>
          <w:szCs w:val="28"/>
        </w:rPr>
        <w:t xml:space="preserve">по вопросу нарушения Порядка подключения к электрическим </w:t>
      </w:r>
      <w:proofErr w:type="gramStart"/>
      <w:r w:rsidR="00FB167D" w:rsidRPr="00B73554">
        <w:rPr>
          <w:rFonts w:ascii="Times New Roman" w:hAnsi="Times New Roman" w:cs="Times New Roman"/>
          <w:sz w:val="28"/>
          <w:szCs w:val="28"/>
        </w:rPr>
        <w:t xml:space="preserve">сетям </w:t>
      </w:r>
      <w:r w:rsidR="00FB167D">
        <w:rPr>
          <w:rFonts w:ascii="Times New Roman" w:hAnsi="Times New Roman" w:cs="Times New Roman"/>
          <w:sz w:val="28"/>
          <w:szCs w:val="28"/>
        </w:rPr>
        <w:t xml:space="preserve"> </w:t>
      </w:r>
      <w:r w:rsidR="0060200B" w:rsidRPr="00B73554">
        <w:rPr>
          <w:rFonts w:ascii="Times New Roman" w:hAnsi="Times New Roman" w:cs="Times New Roman"/>
          <w:sz w:val="28"/>
          <w:szCs w:val="28"/>
        </w:rPr>
        <w:t>возбуждено</w:t>
      </w:r>
      <w:proofErr w:type="gramEnd"/>
      <w:r w:rsidR="0060200B" w:rsidRPr="00B73554">
        <w:rPr>
          <w:rFonts w:ascii="Times New Roman" w:hAnsi="Times New Roman" w:cs="Times New Roman"/>
          <w:sz w:val="28"/>
          <w:szCs w:val="28"/>
        </w:rPr>
        <w:t xml:space="preserve"> </w:t>
      </w:r>
      <w:r w:rsidR="00FB167D">
        <w:rPr>
          <w:rFonts w:ascii="Times New Roman" w:hAnsi="Times New Roman" w:cs="Times New Roman"/>
          <w:sz w:val="28"/>
          <w:szCs w:val="28"/>
        </w:rPr>
        <w:t>17</w:t>
      </w:r>
      <w:r w:rsidR="0060200B" w:rsidRPr="00B73554">
        <w:rPr>
          <w:rFonts w:ascii="Times New Roman" w:hAnsi="Times New Roman" w:cs="Times New Roman"/>
          <w:sz w:val="28"/>
          <w:szCs w:val="28"/>
        </w:rPr>
        <w:t xml:space="preserve">, </w:t>
      </w:r>
      <w:r w:rsidR="00FB167D"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="0060200B" w:rsidRPr="00B73554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FB167D">
        <w:rPr>
          <w:rFonts w:ascii="Times New Roman" w:hAnsi="Times New Roman" w:cs="Times New Roman"/>
          <w:sz w:val="28"/>
          <w:szCs w:val="28"/>
        </w:rPr>
        <w:t>а</w:t>
      </w:r>
      <w:r w:rsidR="0060200B" w:rsidRPr="00B73554">
        <w:rPr>
          <w:rFonts w:ascii="Times New Roman" w:hAnsi="Times New Roman" w:cs="Times New Roman"/>
          <w:sz w:val="28"/>
          <w:szCs w:val="28"/>
        </w:rPr>
        <w:t xml:space="preserve"> - </w:t>
      </w:r>
      <w:r w:rsidR="00FB167D">
        <w:rPr>
          <w:rFonts w:ascii="Times New Roman" w:hAnsi="Times New Roman" w:cs="Times New Roman"/>
          <w:sz w:val="28"/>
          <w:szCs w:val="28"/>
        </w:rPr>
        <w:t>20</w:t>
      </w:r>
      <w:r w:rsidR="0060200B" w:rsidRPr="00B73554">
        <w:rPr>
          <w:rFonts w:ascii="Times New Roman" w:hAnsi="Times New Roman" w:cs="Times New Roman"/>
          <w:sz w:val="28"/>
          <w:szCs w:val="28"/>
        </w:rPr>
        <w:t>.</w:t>
      </w:r>
    </w:p>
    <w:p w:rsidR="00B87BB6" w:rsidRPr="00B73554" w:rsidRDefault="0060200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свидетельствует о типичных и нетипичных нарушениях порядка подключения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 электрической энергии со стороны сетевых организациях.</w:t>
      </w:r>
    </w:p>
    <w:p w:rsidR="0060200B" w:rsidRPr="00B73554" w:rsidRDefault="0060200B" w:rsidP="00B73554">
      <w:pPr>
        <w:spacing w:after="0" w:line="360" w:lineRule="auto"/>
        <w:ind w:right="20" w:firstLine="700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</w:pPr>
      <w:r w:rsidRPr="00B73554">
        <w:rPr>
          <w:rFonts w:ascii="Times New Roman" w:eastAsia="Times New Roman" w:hAnsi="Times New Roman" w:cs="Times New Roman"/>
          <w:spacing w:val="5"/>
          <w:sz w:val="28"/>
          <w:szCs w:val="28"/>
          <w:u w:val="single"/>
        </w:rPr>
        <w:t>К типичным нарушениям порядка подключения к электрическим сетям можно отнести следующие нарушения:</w:t>
      </w:r>
    </w:p>
    <w:p w:rsidR="00F76254" w:rsidRPr="00B73554" w:rsidRDefault="0060200B" w:rsidP="00B7355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Нарушения сетевой организацией </w:t>
      </w:r>
      <w:r w:rsidR="00F76254" w:rsidRPr="00B735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5C8E" w:rsidRPr="00B73554">
        <w:rPr>
          <w:rFonts w:ascii="Times New Roman" w:hAnsi="Times New Roman" w:cs="Times New Roman"/>
          <w:sz w:val="28"/>
          <w:szCs w:val="28"/>
        </w:rPr>
        <w:t xml:space="preserve">роков осуществления мероприятий по технологическому присоединению </w:t>
      </w:r>
      <w:proofErr w:type="spellStart"/>
      <w:r w:rsidR="00DB5C8E"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DB5C8E" w:rsidRPr="00B73554">
        <w:rPr>
          <w:rFonts w:ascii="Times New Roman" w:hAnsi="Times New Roman" w:cs="Times New Roman"/>
          <w:sz w:val="28"/>
          <w:szCs w:val="28"/>
        </w:rPr>
        <w:t xml:space="preserve"> устройств заявителя</w:t>
      </w:r>
      <w:r w:rsidR="00F76254" w:rsidRPr="00B73554">
        <w:rPr>
          <w:rFonts w:ascii="Times New Roman" w:hAnsi="Times New Roman" w:cs="Times New Roman"/>
          <w:sz w:val="28"/>
          <w:szCs w:val="28"/>
        </w:rPr>
        <w:t>.</w:t>
      </w:r>
    </w:p>
    <w:p w:rsidR="00B96532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</w:t>
      </w:r>
      <w:proofErr w:type="gramStart"/>
      <w:r w:rsidRPr="00B73554">
        <w:rPr>
          <w:rFonts w:ascii="Times New Roman" w:hAnsi="Times New Roman" w:cs="Times New Roman"/>
          <w:sz w:val="28"/>
          <w:szCs w:val="28"/>
        </w:rPr>
        <w:t xml:space="preserve">Правил  </w:t>
      </w:r>
      <w:r w:rsidR="003A50F2" w:rsidRPr="00B735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 xml:space="preserve">абзац 1 </w:t>
      </w:r>
      <w:r w:rsidR="003A50F2" w:rsidRPr="00B73554">
        <w:rPr>
          <w:rFonts w:ascii="Times New Roman" w:hAnsi="Times New Roman" w:cs="Times New Roman"/>
          <w:sz w:val="28"/>
          <w:szCs w:val="28"/>
        </w:rPr>
        <w:t>пункт 3 Правил № 861).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лицами, указанными в </w:t>
      </w:r>
      <w:hyperlink r:id="rId12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12.1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обратившимися в сетевую организацию с заявкой на технологическое присоединение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устройств, принадлежащих им на праве собственности или на ином предусмотренном законом основании (далее - заявка), а также выполнить в отношении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таких лиц мероприятия по технологическому присоединению (абзац 2 пункт 3 Правил № 861).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лицом, в сроки, установленные настоящими Правилами.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 (пункт 6 Правил №861).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Пунктом 7 Правила №861 устан</w:t>
      </w:r>
      <w:r w:rsidR="00B00DA3" w:rsidRPr="00B73554">
        <w:rPr>
          <w:rFonts w:ascii="Times New Roman" w:hAnsi="Times New Roman" w:cs="Times New Roman"/>
          <w:sz w:val="28"/>
          <w:szCs w:val="28"/>
        </w:rPr>
        <w:t>о</w:t>
      </w:r>
      <w:r w:rsidRPr="00B73554">
        <w:rPr>
          <w:rFonts w:ascii="Times New Roman" w:hAnsi="Times New Roman" w:cs="Times New Roman"/>
          <w:sz w:val="28"/>
          <w:szCs w:val="28"/>
        </w:rPr>
        <w:t>влена следующую процедуру технологического присоединения: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а) подача заявки юридическим или физическим лицом (далее - заявитель), которое имеет намерение осуществить технологическое присоединение по основаниям, предусмотренным </w:t>
      </w:r>
      <w:hyperlink r:id="rId15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б) заключение договора;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в) выполнение сторонами договора мероприятий по технологическому присоединению, предусмотренных договором;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г) получение разрешения органа федерального государственного энергетического надзора в случаях предусмотренных </w:t>
      </w:r>
      <w:hyperlink r:id="rId16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№861 </w:t>
      </w:r>
    </w:p>
    <w:p w:rsidR="0079122B" w:rsidRPr="00B73554" w:rsidRDefault="0079122B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д) осуществление сетевой организацией фактического п</w:t>
      </w:r>
      <w:r w:rsidR="00856E0A" w:rsidRPr="00B73554">
        <w:rPr>
          <w:rFonts w:ascii="Times New Roman" w:hAnsi="Times New Roman" w:cs="Times New Roman"/>
          <w:sz w:val="28"/>
          <w:szCs w:val="28"/>
        </w:rPr>
        <w:t>рисоединения объектов заявителя,</w:t>
      </w:r>
    </w:p>
    <w:p w:rsidR="00856E0A" w:rsidRPr="00B73554" w:rsidRDefault="00856E0A" w:rsidP="00B73554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>е) составление акта об осуществлении технологического присоединения.</w:t>
      </w:r>
    </w:p>
    <w:p w:rsidR="00FA4588" w:rsidRPr="00B73554" w:rsidRDefault="00FA4588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Сроки осуществления сетевой организацией мероприятий по технологическому присоединению определены подпунктом б пунктом 16 Правил №861.</w:t>
      </w:r>
    </w:p>
    <w:p w:rsidR="00A70872" w:rsidRPr="00B73554" w:rsidRDefault="00FA4588" w:rsidP="00B7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С</w:t>
      </w:r>
      <w:r w:rsidR="00A70872" w:rsidRPr="00B73554">
        <w:rPr>
          <w:rFonts w:ascii="Times New Roman" w:hAnsi="Times New Roman" w:cs="Times New Roman"/>
          <w:sz w:val="28"/>
          <w:szCs w:val="28"/>
        </w:rPr>
        <w:t>рок осуществления мероприятий по технологическому присоединению исчисляется со дня заключения договора и не может превышать: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B73554">
        <w:rPr>
          <w:rFonts w:ascii="Times New Roman" w:hAnsi="Times New Roman" w:cs="Times New Roman"/>
          <w:sz w:val="28"/>
          <w:szCs w:val="28"/>
        </w:rPr>
        <w:t xml:space="preserve">30 рабочих дней - для заявителей, указанных в </w:t>
      </w:r>
      <w:hyperlink r:id="rId17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12(1)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при одновременно</w:t>
      </w:r>
      <w:r w:rsidR="00FA4588" w:rsidRPr="00B73554">
        <w:rPr>
          <w:rFonts w:ascii="Times New Roman" w:hAnsi="Times New Roman" w:cs="Times New Roman"/>
          <w:sz w:val="28"/>
          <w:szCs w:val="28"/>
        </w:rPr>
        <w:t>м соблюдении следующих условий: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заявителя осуществляется к электрическим сетям классом напряжения 0,4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и ниже;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устройства, составляет не более 15 метров;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заявителя, и земельным участком заявителя;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 w:rsidRPr="00B73554">
        <w:rPr>
          <w:rFonts w:ascii="Times New Roman" w:hAnsi="Times New Roman" w:cs="Times New Roman"/>
          <w:sz w:val="28"/>
          <w:szCs w:val="28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устройств, а также по обеспечению коммерческого учета электрической энергии (мощности);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 xml:space="preserve">при несоблюдении любого из условий, предусмотренных </w:t>
      </w:r>
      <w:hyperlink w:anchor="Par3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шестым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настоящего подпункта, в случае осуществления технологического присоединения к электрическим сетям классом напряжения до 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включительно, при этом расстояние от существующих электрических сетей до границ участка, на котором расположены присоединяемые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и (или) объектов электроэнергетики: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4 месяца - для заявителей (в том числе указанных в </w:t>
      </w:r>
      <w:hyperlink r:id="rId19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13(3)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13(5)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13(6)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Правил),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до 670 кВт включительно;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 w:rsidRPr="00B73554">
        <w:rPr>
          <w:rFonts w:ascii="Times New Roman" w:hAnsi="Times New Roman" w:cs="Times New Roman"/>
          <w:sz w:val="28"/>
          <w:szCs w:val="28"/>
        </w:rPr>
        <w:t xml:space="preserve">1 год - для заявителей,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свыше 670 кВт;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случаях, не предусмотренных </w:t>
      </w:r>
      <w:hyperlink w:anchor="Par3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8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десятым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настоящего подпункта: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15 рабочих дней 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lastRenderedPageBreak/>
        <w:t>энергопринимающего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 заявителя до существующих электрических сетей составляет не более 300 метров;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6 месяцев - для заявителей, указанных в </w:t>
      </w:r>
      <w:hyperlink r:id="rId22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12(1)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13(3)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13(5)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включительно, и если расстояние от существующих электрических сетей до границ участка заявителя, на котором расположены присоединяемые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1 год - для заявителей,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менее 670 кВт, а также для заявителей,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 w:rsidRPr="00B73554">
        <w:rPr>
          <w:rFonts w:ascii="Times New Roman" w:hAnsi="Times New Roman" w:cs="Times New Roman"/>
          <w:sz w:val="28"/>
          <w:szCs w:val="28"/>
        </w:rPr>
        <w:t xml:space="preserve">2 года - для заявителей,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или объектов электроэнергетики заявителя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смежных сетевых организаций, и (или) объектов по производству электрической энергии;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2 года - для заявителей, указанных в </w:t>
      </w:r>
      <w:hyperlink r:id="rId27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пункте 13(8)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Правительства РФ от 24.03.2023 N 457)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1 месяц (если в заявке не указан более продолжительный срок) - для заявителей, указанных в </w:t>
      </w:r>
      <w:hyperlink r:id="rId29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13(2)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0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13(4)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lastRenderedPageBreak/>
        <w:t>энергопринимающие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устройства которых ранее присоединены в данной точке присоединения к объектам электросетевого хозяйства сетевой организации.</w:t>
      </w:r>
    </w:p>
    <w:p w:rsidR="00A70872" w:rsidRPr="00B73554" w:rsidRDefault="00A70872" w:rsidP="00B735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Для заявителей, максимальная мощность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не менее 670 кВт, по инициативе (обращению) заявителя договором могут быть установлены иные сроки (но не более 4 лет). В случае заключения сетевой организацией договора со смежной сетевой организацией в соответствии с требованиями </w:t>
      </w:r>
      <w:hyperlink r:id="rId31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 41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 срок осуществления мероприятий по технологическому присоединению определяется в порядке, установленном настоящими Правилами.</w:t>
      </w:r>
    </w:p>
    <w:p w:rsidR="00141461" w:rsidRPr="00B73554" w:rsidRDefault="001E5933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Невыполнение сетевой организацией мероприятий по технологическому присоединению в установленный срок является нарушением порядка подключения (технологического присоединения) к электрическим сетям.</w:t>
      </w:r>
    </w:p>
    <w:p w:rsidR="001E5933" w:rsidRDefault="001E5933" w:rsidP="00782A5E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Ответственность за нарушение субъектом естественной монополии установленного порядка подключения (технологического присоединения) к электрическим сетям предусмотрена статьей 9.21 КоАП РФ и влечет наложение административного штрафа.</w:t>
      </w:r>
    </w:p>
    <w:p w:rsidR="00782A5E" w:rsidRDefault="00782A5E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Согласно статье 9.21 КоАП РФ </w:t>
      </w:r>
    </w:p>
    <w:p w:rsidR="00782A5E" w:rsidRDefault="00782A5E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"/>
      <w:bookmarkEnd w:id="4"/>
      <w:r>
        <w:rPr>
          <w:rFonts w:ascii="Times New Roman" w:hAnsi="Times New Roman" w:cs="Times New Roman"/>
          <w:sz w:val="28"/>
          <w:szCs w:val="28"/>
        </w:rPr>
        <w:t>1. Нарушение субъектом естественной монополии правил (порядка обеспечения) недискриминационного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магистральным газопроводам,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 -</w:t>
      </w:r>
    </w:p>
    <w:p w:rsidR="00782A5E" w:rsidRDefault="00782A5E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</w:p>
    <w:p w:rsidR="00782A5E" w:rsidRDefault="00782A5E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Повторное совершение административного правонарушения, предусмотренного </w:t>
      </w:r>
      <w:hyperlink w:anchor="Par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782A5E" w:rsidRDefault="00782A5E" w:rsidP="00782A5E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FB167D" w:rsidRDefault="006D69FA" w:rsidP="00782A5E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2022г. за нарушение порядка подключения к электрическим сетям, выразившееся в невыполнении сетевой организацией мероприятий по технологическому присоединению в установленный срок, </w:t>
      </w:r>
      <w:r w:rsidR="00FB167D" w:rsidRPr="00B73554">
        <w:rPr>
          <w:rFonts w:ascii="Times New Roman" w:hAnsi="Times New Roman" w:cs="Times New Roman"/>
          <w:sz w:val="28"/>
          <w:szCs w:val="28"/>
        </w:rPr>
        <w:t xml:space="preserve">постановлений о назначении административного наказания </w:t>
      </w:r>
      <w:r w:rsidRPr="00B73554">
        <w:rPr>
          <w:rFonts w:ascii="Times New Roman" w:hAnsi="Times New Roman" w:cs="Times New Roman"/>
          <w:sz w:val="28"/>
          <w:szCs w:val="28"/>
        </w:rPr>
        <w:t xml:space="preserve">было вынесено </w:t>
      </w:r>
      <w:r w:rsidR="00FB167D">
        <w:rPr>
          <w:rFonts w:ascii="Times New Roman" w:hAnsi="Times New Roman" w:cs="Times New Roman"/>
          <w:sz w:val="28"/>
          <w:szCs w:val="28"/>
        </w:rPr>
        <w:t xml:space="preserve">5, за истекший период 2023 года -  </w:t>
      </w:r>
      <w:r w:rsidR="00FB167D" w:rsidRPr="003F60B8">
        <w:rPr>
          <w:rFonts w:ascii="Times New Roman" w:hAnsi="Times New Roman" w:cs="Times New Roman"/>
          <w:sz w:val="28"/>
          <w:szCs w:val="28"/>
        </w:rPr>
        <w:t>5</w:t>
      </w:r>
      <w:r w:rsidR="00FB167D">
        <w:rPr>
          <w:rFonts w:ascii="Times New Roman" w:hAnsi="Times New Roman" w:cs="Times New Roman"/>
          <w:sz w:val="28"/>
          <w:szCs w:val="28"/>
        </w:rPr>
        <w:t>.</w:t>
      </w:r>
    </w:p>
    <w:p w:rsidR="006D69FA" w:rsidRPr="00B73554" w:rsidRDefault="006D69FA" w:rsidP="00B73554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Административные штрафы наложены в </w:t>
      </w:r>
      <w:r w:rsidR="00FB167D">
        <w:rPr>
          <w:rFonts w:ascii="Times New Roman" w:hAnsi="Times New Roman" w:cs="Times New Roman"/>
          <w:sz w:val="28"/>
          <w:szCs w:val="28"/>
        </w:rPr>
        <w:t>2022 году на общую сумму 330 000 рублей, за истекший период 2023 года - 2 200 000 рублей</w:t>
      </w:r>
      <w:r w:rsidRPr="00B73554">
        <w:rPr>
          <w:rFonts w:ascii="Times New Roman" w:hAnsi="Times New Roman" w:cs="Times New Roman"/>
          <w:sz w:val="28"/>
          <w:szCs w:val="28"/>
        </w:rPr>
        <w:t>.</w:t>
      </w:r>
    </w:p>
    <w:p w:rsidR="00BE5DD9" w:rsidRPr="00B73554" w:rsidRDefault="006D69FA" w:rsidP="00B73554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 </w:t>
      </w:r>
      <w:r w:rsidR="006333AC" w:rsidRPr="00B73554">
        <w:rPr>
          <w:rFonts w:ascii="Times New Roman" w:hAnsi="Times New Roman" w:cs="Times New Roman"/>
          <w:sz w:val="28"/>
          <w:szCs w:val="28"/>
        </w:rPr>
        <w:t xml:space="preserve"> </w:t>
      </w:r>
      <w:r w:rsidR="006333AC" w:rsidRPr="00B73554">
        <w:rPr>
          <w:rFonts w:ascii="Times New Roman" w:hAnsi="Times New Roman" w:cs="Times New Roman"/>
          <w:sz w:val="28"/>
          <w:szCs w:val="28"/>
          <w:u w:val="single"/>
        </w:rPr>
        <w:t>К нетипичные нарушениям порядка подключения к электрическим сетям можно отнести следующие:</w:t>
      </w:r>
    </w:p>
    <w:p w:rsidR="006333AC" w:rsidRPr="00B73554" w:rsidRDefault="00474EC1" w:rsidP="00B7355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Нарушения сетевой организацией </w:t>
      </w:r>
      <w:r w:rsidR="001B5ECF" w:rsidRPr="00B73554">
        <w:rPr>
          <w:rFonts w:ascii="Times New Roman" w:hAnsi="Times New Roman" w:cs="Times New Roman"/>
          <w:sz w:val="28"/>
          <w:szCs w:val="28"/>
        </w:rPr>
        <w:t xml:space="preserve">в </w:t>
      </w:r>
      <w:r w:rsidRPr="00B73554">
        <w:rPr>
          <w:rFonts w:ascii="Times New Roman" w:hAnsi="Times New Roman" w:cs="Times New Roman"/>
          <w:sz w:val="28"/>
          <w:szCs w:val="28"/>
        </w:rPr>
        <w:t>определени</w:t>
      </w:r>
      <w:r w:rsidR="001B5ECF" w:rsidRPr="00B73554">
        <w:rPr>
          <w:rFonts w:ascii="Times New Roman" w:hAnsi="Times New Roman" w:cs="Times New Roman"/>
          <w:sz w:val="28"/>
          <w:szCs w:val="28"/>
        </w:rPr>
        <w:t>и</w:t>
      </w:r>
      <w:r w:rsidRPr="00B73554">
        <w:rPr>
          <w:rFonts w:ascii="Times New Roman" w:hAnsi="Times New Roman" w:cs="Times New Roman"/>
          <w:sz w:val="28"/>
          <w:szCs w:val="28"/>
        </w:rPr>
        <w:t xml:space="preserve"> точки подключения к электрическим сетям</w:t>
      </w:r>
      <w:r w:rsidR="001B5ECF" w:rsidRPr="00B73554">
        <w:rPr>
          <w:rFonts w:ascii="Times New Roman" w:hAnsi="Times New Roman" w:cs="Times New Roman"/>
          <w:sz w:val="28"/>
          <w:szCs w:val="28"/>
        </w:rPr>
        <w:t>.</w:t>
      </w:r>
    </w:p>
    <w:p w:rsidR="00474EC1" w:rsidRPr="00B73554" w:rsidRDefault="00474EC1" w:rsidP="00B7355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Согласно пункту 8 Правил №861 для заключения договора заявитель направляет заявку в сетевую организацию, объекты электросетевого хозяйства которой расположены на наименьшем расстоянии от границ участка заявителя, с учетом условий, установленных </w:t>
      </w:r>
      <w:hyperlink r:id="rId32" w:history="1">
        <w:r w:rsidRPr="00B73554">
          <w:rPr>
            <w:rFonts w:ascii="Times New Roman" w:hAnsi="Times New Roman" w:cs="Times New Roman"/>
            <w:sz w:val="28"/>
            <w:szCs w:val="28"/>
          </w:rPr>
          <w:t>пунктом 8(1)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</w:p>
    <w:p w:rsidR="00474EC1" w:rsidRPr="00B73554" w:rsidRDefault="00474EC1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расстояние, измеряемое по прямой линии от границы участка (нахождения присоединяемых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устройств) заявителя до ближайшего объекта электрической сети (опора линий электропередачи, кабельная линия, распределительное устройство, </w:t>
      </w:r>
      <w:r w:rsidRPr="00B73554">
        <w:rPr>
          <w:rFonts w:ascii="Times New Roman" w:hAnsi="Times New Roman" w:cs="Times New Roman"/>
          <w:sz w:val="28"/>
          <w:szCs w:val="28"/>
        </w:rPr>
        <w:lastRenderedPageBreak/>
        <w:t xml:space="preserve">подстанция), имеющего указанный в заявке класс напряжения (в случае указания в заявке класса напряжения до 1000 В - до ближайшего объекта электрической сети класса напряжения не более 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), существующего или планируемого к вводу в эксплуатацию в соответствии с инвестиционной программой сетевой организации, утвержденной в установленном порядке, в сроки, предусмотренные </w:t>
      </w:r>
      <w:hyperlink r:id="rId33" w:history="1">
        <w:r w:rsidRPr="00B73554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исчисляемые со дня подачи заявки в сетевую организацию.</w:t>
      </w:r>
    </w:p>
    <w:p w:rsidR="00474EC1" w:rsidRPr="00B73554" w:rsidRDefault="00474EC1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Федеральной антимонопольной службы России от 16.12.2015 N BK/72527/15 и </w:t>
      </w:r>
      <w:hyperlink r:id="rId34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письмом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от 02.12.2016 N ВК/83615/16 под электрическими сетями необходимого класса напряжения следует понимать любые электрические сети, необходимые заявителям, указанным в </w:t>
      </w:r>
      <w:hyperlink r:id="rId35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пунктах 12.1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Правил N 861, класс напряжения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которых составляет до 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включительно (например 0,4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, 6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474EC1" w:rsidRPr="00B73554" w:rsidRDefault="00474EC1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Так в мае 2023 года в Пензенское УФАС России поступило обращение индивидуального предпринимателя в отношении сетевой организации по вопросу нарушения сетевой организацией определени</w:t>
      </w:r>
      <w:r w:rsidR="001A46DA" w:rsidRPr="00B73554">
        <w:rPr>
          <w:rFonts w:ascii="Times New Roman" w:hAnsi="Times New Roman" w:cs="Times New Roman"/>
          <w:sz w:val="28"/>
          <w:szCs w:val="28"/>
        </w:rPr>
        <w:t>я</w:t>
      </w:r>
      <w:r w:rsidRPr="00B73554">
        <w:rPr>
          <w:rFonts w:ascii="Times New Roman" w:hAnsi="Times New Roman" w:cs="Times New Roman"/>
          <w:sz w:val="28"/>
          <w:szCs w:val="28"/>
        </w:rPr>
        <w:t xml:space="preserve"> в договоре об осуществлении технологического присоединения точки подключения, требующей проектирование и строительство новой ВЛ при наличии имеющейся опоры ВЛ</w:t>
      </w:r>
      <w:r w:rsidR="001A46DA" w:rsidRPr="00B73554">
        <w:rPr>
          <w:rFonts w:ascii="Times New Roman" w:hAnsi="Times New Roman" w:cs="Times New Roman"/>
          <w:sz w:val="28"/>
          <w:szCs w:val="28"/>
        </w:rPr>
        <w:t>, проходящей по земельному участку Заявителя</w:t>
      </w:r>
      <w:r w:rsidRPr="00B73554">
        <w:rPr>
          <w:rFonts w:ascii="Times New Roman" w:hAnsi="Times New Roman" w:cs="Times New Roman"/>
          <w:sz w:val="28"/>
          <w:szCs w:val="28"/>
        </w:rPr>
        <w:t>.</w:t>
      </w:r>
    </w:p>
    <w:p w:rsidR="001A46DA" w:rsidRPr="00B73554" w:rsidRDefault="001A46DA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В рамках проведения административного расследования установлено, что индивидуальный предприниматель обратился с заявкой в сетевую организацию для осуществления электроснабжения объекта туристической отрасли.  Сетевая организация, рассмотрев заявку ИП, направила договор на осуществление технологического присоединения к электрическим сетям и технические условия на присоединение к электрическим сетям.</w:t>
      </w:r>
    </w:p>
    <w:p w:rsidR="001A46DA" w:rsidRPr="00B73554" w:rsidRDefault="001A46DA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Согласно техническим условиям точка присоединения определена - вновь построенная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отпаечная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ВЛ, (КЛ) от ВЛ 10кВ №20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ПС 110кВ Сосновоборск, которая будет располагаться на расс</w:t>
      </w:r>
      <w:r w:rsidR="003F510E" w:rsidRPr="00B73554">
        <w:rPr>
          <w:rFonts w:ascii="Times New Roman" w:hAnsi="Times New Roman" w:cs="Times New Roman"/>
          <w:sz w:val="28"/>
          <w:szCs w:val="28"/>
        </w:rPr>
        <w:t>тоянии 282 м от земельного участка Заявителя.</w:t>
      </w:r>
    </w:p>
    <w:p w:rsidR="001A46DA" w:rsidRPr="00B73554" w:rsidRDefault="001A46DA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технические условия включали в себя мероприятия Сетевой организации по проектированию и строительству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отпаечной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ВЛ(КЛ) от ВЛ 10кВ №20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ПС 110кВ Сосновоборск, а также проектирование и установку измерительного комплекса учета электроэнергии 10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3F510E" w:rsidRPr="00B73554" w:rsidRDefault="001A46DA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Вместе с тем, в обращении Заявитель указывал на наличие на территории принадлежащего ему земельного участка опоры ВЛ</w:t>
      </w:r>
      <w:r w:rsidR="003F510E" w:rsidRPr="00B73554">
        <w:rPr>
          <w:rFonts w:ascii="Times New Roman" w:hAnsi="Times New Roman" w:cs="Times New Roman"/>
          <w:sz w:val="28"/>
          <w:szCs w:val="28"/>
        </w:rPr>
        <w:t>.</w:t>
      </w:r>
    </w:p>
    <w:p w:rsidR="00135994" w:rsidRPr="00B73554" w:rsidRDefault="003F510E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Антимонопольным органом было установлено, что опоры ВЛ, проходящие по земельному участку</w:t>
      </w:r>
      <w:r w:rsidR="00135994" w:rsidRPr="00B7355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B73554">
        <w:rPr>
          <w:rFonts w:ascii="Times New Roman" w:hAnsi="Times New Roman" w:cs="Times New Roman"/>
          <w:sz w:val="28"/>
          <w:szCs w:val="28"/>
        </w:rPr>
        <w:t>, сетевая организация использ</w:t>
      </w:r>
      <w:r w:rsidR="00135994" w:rsidRPr="00B73554">
        <w:rPr>
          <w:rFonts w:ascii="Times New Roman" w:hAnsi="Times New Roman" w:cs="Times New Roman"/>
          <w:sz w:val="28"/>
          <w:szCs w:val="28"/>
        </w:rPr>
        <w:t xml:space="preserve">ует для </w:t>
      </w:r>
      <w:proofErr w:type="gramStart"/>
      <w:r w:rsidR="00135994" w:rsidRPr="00B73554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Pr="00B73554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 xml:space="preserve"> по передаче электроэнергии</w:t>
      </w:r>
      <w:r w:rsidR="00135994" w:rsidRPr="00B73554">
        <w:rPr>
          <w:rFonts w:ascii="Times New Roman" w:hAnsi="Times New Roman" w:cs="Times New Roman"/>
          <w:sz w:val="28"/>
          <w:szCs w:val="28"/>
        </w:rPr>
        <w:t>.</w:t>
      </w:r>
    </w:p>
    <w:p w:rsidR="00135994" w:rsidRPr="00B73554" w:rsidRDefault="0013599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Доказательств того, что опора ВЛ, расположенная на территории участка Заявителя не соответствует классу напряжения, указанному в заявках Заявителя, сетевая организация не представила.</w:t>
      </w:r>
    </w:p>
    <w:p w:rsidR="00241B68" w:rsidRPr="00B73554" w:rsidRDefault="00241B68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Довод сетевой организации о том, что подключение объекта Заявителя от опоры линий электропередач, проходящей по земельному участку, технически не представляется возможным в связи с конструктивной особенностью данной опоры и сложным рельефом местности, был отклонен в силу следующего.</w:t>
      </w:r>
    </w:p>
    <w:p w:rsidR="00241B68" w:rsidRPr="00B73554" w:rsidRDefault="00241B68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Как разъяснено в </w:t>
      </w:r>
      <w:hyperlink r:id="rId38" w:history="1">
        <w:r w:rsidRPr="00B73554">
          <w:rPr>
            <w:rFonts w:ascii="Times New Roman" w:hAnsi="Times New Roman" w:cs="Times New Roman"/>
            <w:color w:val="0000FF"/>
            <w:sz w:val="28"/>
            <w:szCs w:val="28"/>
          </w:rPr>
          <w:t>решении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Высшего Арбитражного Суда Российской Федерации от 12.08.2011 N ВАС-9742/11 на сетевую организацию возлагается не только обязанность по осуществлению собственно мероприятий по технологическому присоединению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 к электрическим сетям, но и целого ряда подготовительных мероприятий, необходимых для осуществления такого технологического присоединения, включая усиление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энергии). </w:t>
      </w:r>
    </w:p>
    <w:p w:rsidR="00241B68" w:rsidRPr="00B73554" w:rsidRDefault="00241B68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>Доказательств принятия всех необходимых мер для соблюдения требований закона, а также доказательств отсутствия технической, либо технологической возможности технологического присоединения объекта Заявителя к объектам электросетевого хозяйства ПАО «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Волга», находящимся на ближайшем расстоянии от границ участка Заявителя сетевой организацией в материалы дела не представлено.</w:t>
      </w:r>
    </w:p>
    <w:p w:rsidR="00241B68" w:rsidRPr="00B73554" w:rsidRDefault="00241B68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Постановлением о назначении административного наказания в действиях сетевой организации был признан состав административного правонарушения, ответственность за которое предусмотрена часть</w:t>
      </w:r>
      <w:r w:rsidR="00B73554" w:rsidRPr="00B73554">
        <w:rPr>
          <w:rFonts w:ascii="Times New Roman" w:hAnsi="Times New Roman" w:cs="Times New Roman"/>
          <w:sz w:val="28"/>
          <w:szCs w:val="28"/>
        </w:rPr>
        <w:t xml:space="preserve">ю </w:t>
      </w:r>
      <w:r w:rsidRPr="00B73554">
        <w:rPr>
          <w:rFonts w:ascii="Times New Roman" w:hAnsi="Times New Roman" w:cs="Times New Roman"/>
          <w:sz w:val="28"/>
          <w:szCs w:val="28"/>
        </w:rPr>
        <w:t>2 статьи 9.21 КоАП РФ, и назначено административное наказание в размере 300 000 рублей.</w:t>
      </w:r>
    </w:p>
    <w:p w:rsidR="00241B68" w:rsidRPr="00B73554" w:rsidRDefault="002D1F1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Сетевая организация, не согласившись с вынесенным постановлением, обжаловало его в Арбитражном суде Пензенской области.</w:t>
      </w:r>
    </w:p>
    <w:p w:rsidR="002D1F14" w:rsidRPr="00B73554" w:rsidRDefault="002D1F14" w:rsidP="0080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Решением Арбитражного суда Пензенской области от 25.09</w:t>
      </w:r>
      <w:r w:rsidR="00260C56" w:rsidRPr="00B73554">
        <w:rPr>
          <w:rFonts w:ascii="Times New Roman" w:hAnsi="Times New Roman" w:cs="Times New Roman"/>
          <w:sz w:val="28"/>
          <w:szCs w:val="28"/>
        </w:rPr>
        <w:t>.</w:t>
      </w:r>
      <w:r w:rsidRPr="00B73554">
        <w:rPr>
          <w:rFonts w:ascii="Times New Roman" w:hAnsi="Times New Roman" w:cs="Times New Roman"/>
          <w:sz w:val="28"/>
          <w:szCs w:val="28"/>
        </w:rPr>
        <w:t>2023г. по делу А49-7493/2023 постановление о назначении административного наказания признано законным, в удовлетворении жалобы сетевой организации отказано.</w:t>
      </w:r>
    </w:p>
    <w:p w:rsidR="007A6D73" w:rsidRPr="00B73554" w:rsidRDefault="001B5ECF" w:rsidP="0080704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Нарушение сетевой организации, выразившееся в необоснованном приостановлении рассмотрения заявки</w:t>
      </w:r>
      <w:r w:rsidR="007A6D73" w:rsidRPr="00B73554">
        <w:rPr>
          <w:rFonts w:ascii="Times New Roman" w:hAnsi="Times New Roman" w:cs="Times New Roman"/>
          <w:sz w:val="28"/>
          <w:szCs w:val="28"/>
        </w:rPr>
        <w:t>.</w:t>
      </w:r>
    </w:p>
    <w:p w:rsidR="007A6D73" w:rsidRPr="00B73554" w:rsidRDefault="007A6D73" w:rsidP="0080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Согласно абзацу 12 пункта 15 Правил №861 сетевая организация в течение 3 рабочих дней рассматривает заявку, а также приложенные к ней документы и сведения и проверяет их на соответствие требованиям, указанным в </w:t>
      </w:r>
      <w:hyperlink r:id="rId39" w:history="1">
        <w:r w:rsidRPr="00B73554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B7355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1" w:history="1">
        <w:r w:rsidRPr="00B7355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B7355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Правил. При отсутствии сведений и документов, указанных в </w:t>
      </w:r>
      <w:hyperlink r:id="rId43" w:history="1">
        <w:r w:rsidRPr="00B73554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, </w:t>
      </w:r>
      <w:hyperlink r:id="rId44" w:history="1">
        <w:r w:rsidRPr="00B73554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5" w:history="1">
        <w:r w:rsidRPr="00B7355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- </w:t>
      </w:r>
      <w:hyperlink r:id="rId46" w:history="1">
        <w:r w:rsidRPr="00B7355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73554">
        <w:rPr>
          <w:rFonts w:ascii="Times New Roman" w:hAnsi="Times New Roman" w:cs="Times New Roman"/>
          <w:sz w:val="28"/>
          <w:szCs w:val="28"/>
        </w:rPr>
        <w:t xml:space="preserve"> настоящих Правил, сетевая организация не позднее 3 рабочих дней со дня получения заявки направляет заявителю уведомление, содержащее указание на сведения (документы), которые в соответствии с настоящими Правилами должны быть представлены заявителем в дополнение к представленным сведениям (документам), а также указание на необходимость их представления в течение 20 рабочих дней со дня получения указанного уведомления. При этом сетевая </w:t>
      </w:r>
      <w:r w:rsidRPr="00B7355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приостанавливает рассмотрение заявки до получения недостающих сведений и документов. </w:t>
      </w:r>
    </w:p>
    <w:p w:rsidR="007A6D73" w:rsidRPr="00B73554" w:rsidRDefault="007A6D73" w:rsidP="0080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Так в мае 2023 года в Пензенское УФАС России поступило обращение физического лица </w:t>
      </w:r>
      <w:r w:rsidR="00E63E6A" w:rsidRPr="00B73554">
        <w:rPr>
          <w:rFonts w:ascii="Times New Roman" w:hAnsi="Times New Roman" w:cs="Times New Roman"/>
          <w:sz w:val="28"/>
          <w:szCs w:val="28"/>
        </w:rPr>
        <w:t>в отношении сетевой организации по вопросу необоснованного приостановления рассмотрения заявки на подключение объекта недвижимости (гидротехническое сооружение – пруд).</w:t>
      </w:r>
    </w:p>
    <w:p w:rsidR="00E63E6A" w:rsidRPr="00B73554" w:rsidRDefault="004E6ADC" w:rsidP="0080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рамках проведения административного расследования установлено, что </w:t>
      </w:r>
      <w:proofErr w:type="gramStart"/>
      <w:r w:rsidRPr="00B73554">
        <w:rPr>
          <w:rFonts w:ascii="Times New Roman" w:hAnsi="Times New Roman" w:cs="Times New Roman"/>
          <w:sz w:val="28"/>
          <w:szCs w:val="28"/>
        </w:rPr>
        <w:t>Заявитель  обратился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 xml:space="preserve"> в сетевую организацию с заявкой на подключение объекта недвижимости (гидротехническое сооружение – пруд), предоставив необходимую информацию и документы, предусмотренные Правилами №861.</w:t>
      </w:r>
    </w:p>
    <w:p w:rsidR="00CF6A5D" w:rsidRPr="00B73554" w:rsidRDefault="00CF6A5D" w:rsidP="008070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Сетевая организация, приостанавливая рассмотрение заявки, указывала на необходимость Заявителю привести заявку в соответствие в части характера нагрузки, т.к. указанная нагрузка «бытовая» не соответствует наименованию </w:t>
      </w:r>
      <w:proofErr w:type="spellStart"/>
      <w:r w:rsidRPr="00B7355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B73554">
        <w:rPr>
          <w:rFonts w:ascii="Times New Roman" w:hAnsi="Times New Roman" w:cs="Times New Roman"/>
          <w:sz w:val="28"/>
          <w:szCs w:val="28"/>
        </w:rPr>
        <w:t xml:space="preserve"> устройств. По мнению сетевой </w:t>
      </w:r>
      <w:proofErr w:type="gramStart"/>
      <w:r w:rsidRPr="00B73554">
        <w:rPr>
          <w:rFonts w:ascii="Times New Roman" w:hAnsi="Times New Roman" w:cs="Times New Roman"/>
          <w:sz w:val="28"/>
          <w:szCs w:val="28"/>
        </w:rPr>
        <w:t>организации,  характер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 xml:space="preserve"> нагрузки «бытовая» не отвечал назначению сооружения (гидротехническое сооружение – пруд).</w:t>
      </w:r>
    </w:p>
    <w:p w:rsidR="00CF6A5D" w:rsidRPr="00B73554" w:rsidRDefault="00CF6A5D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Однако, в рамках рассмотрения дела об административном правонарушении установлено, что физическим лицом была подана заявка </w:t>
      </w:r>
      <w:r w:rsidR="00414BFF" w:rsidRPr="00B73554">
        <w:rPr>
          <w:rFonts w:ascii="Times New Roman" w:hAnsi="Times New Roman" w:cs="Times New Roman"/>
          <w:sz w:val="28"/>
          <w:szCs w:val="28"/>
        </w:rPr>
        <w:t>на подключение объекта, относящегося к личному подсобному хозяйству, без цели осуществления предпринимательской деятельности.</w:t>
      </w:r>
    </w:p>
    <w:p w:rsidR="00414BFF" w:rsidRP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Доказательств обратного сетевая организация не представила.</w:t>
      </w:r>
    </w:p>
    <w:p w:rsidR="00B73554" w:rsidRPr="00B73554" w:rsidRDefault="00B73554" w:rsidP="00B735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Пунктом 11 Правил №861 предусмотрено, что сетевая организация не вправе требовать представления сведений и документов, не предусмотренных настоящими Правилами, а заявитель не обязан представлять сведения и документы, не предусмотренные настоящими Правилами.</w:t>
      </w:r>
    </w:p>
    <w:p w:rsidR="00B73554" w:rsidRP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В рамках рассмотрения </w:t>
      </w:r>
      <w:proofErr w:type="gramStart"/>
      <w:r w:rsidRPr="00B73554">
        <w:rPr>
          <w:rFonts w:ascii="Times New Roman" w:hAnsi="Times New Roman" w:cs="Times New Roman"/>
          <w:sz w:val="28"/>
          <w:szCs w:val="28"/>
        </w:rPr>
        <w:t>административного  дела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 xml:space="preserve"> сетевая организация  доказательств, свидетельствующих о несоблюдении Заявителем Правил №861, не представила.</w:t>
      </w:r>
    </w:p>
    <w:p w:rsidR="00B73554" w:rsidRP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 xml:space="preserve">Таким образом, основания для приостановления рассмотрения заявки Заявителя у сетевой </w:t>
      </w:r>
      <w:proofErr w:type="gramStart"/>
      <w:r w:rsidRPr="00B73554">
        <w:rPr>
          <w:rFonts w:ascii="Times New Roman" w:hAnsi="Times New Roman" w:cs="Times New Roman"/>
          <w:sz w:val="28"/>
          <w:szCs w:val="28"/>
        </w:rPr>
        <w:t>организации  отсутствовали</w:t>
      </w:r>
      <w:proofErr w:type="gramEnd"/>
      <w:r w:rsidRPr="00B73554">
        <w:rPr>
          <w:rFonts w:ascii="Times New Roman" w:hAnsi="Times New Roman" w:cs="Times New Roman"/>
          <w:sz w:val="28"/>
          <w:szCs w:val="28"/>
        </w:rPr>
        <w:t>.</w:t>
      </w:r>
    </w:p>
    <w:p w:rsidR="00B73554" w:rsidRP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lastRenderedPageBreak/>
        <w:t>Постановлением о назначении административного наказания в действиях сетевой организации был признан состав административного правонарушения, ответственность за которое предусмотрена частью 2 статьи 9.21 КоАП РФ, и назначено административное наказание в размере 500 000 рублей.</w:t>
      </w:r>
    </w:p>
    <w:p w:rsidR="00B73554" w:rsidRP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Сетевая организация, не согласившись с вынесенным постановлением, обжаловало его в Арбитражном суде Пензенской области.</w:t>
      </w:r>
    </w:p>
    <w:p w:rsidR="00B73554" w:rsidRDefault="00B73554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554">
        <w:rPr>
          <w:rFonts w:ascii="Times New Roman" w:hAnsi="Times New Roman" w:cs="Times New Roman"/>
          <w:sz w:val="28"/>
          <w:szCs w:val="28"/>
        </w:rPr>
        <w:t>В настоящее время жалоба сетевой организации об оспаривании постановления антимонопольного органа находится на рассмотрении.</w:t>
      </w:r>
    </w:p>
    <w:p w:rsidR="00807046" w:rsidRDefault="00807046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C7A" w:rsidRPr="00747C7A" w:rsidRDefault="00747C7A" w:rsidP="00B735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A">
        <w:rPr>
          <w:rFonts w:ascii="Times New Roman" w:hAnsi="Times New Roman" w:cs="Times New Roman"/>
          <w:sz w:val="28"/>
          <w:szCs w:val="28"/>
        </w:rPr>
        <w:t xml:space="preserve">Пензенским УФАС России будет продолжена работу по осуществлению </w:t>
      </w:r>
      <w:r w:rsidRPr="00747C7A">
        <w:rPr>
          <w:rFonts w:ascii="Times New Roman" w:hAnsi="Times New Roman" w:cs="Times New Roman"/>
          <w:sz w:val="28"/>
          <w:szCs w:val="28"/>
        </w:rPr>
        <w:t xml:space="preserve">контроля за соблюдением правил технологического присоединения </w:t>
      </w:r>
      <w:proofErr w:type="spellStart"/>
      <w:r w:rsidRPr="00747C7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747C7A">
        <w:rPr>
          <w:rFonts w:ascii="Times New Roman" w:hAnsi="Times New Roman" w:cs="Times New Roman"/>
          <w:sz w:val="28"/>
          <w:szCs w:val="28"/>
        </w:rPr>
        <w:t xml:space="preserve"> устройств потр</w:t>
      </w:r>
      <w:r w:rsidRPr="00747C7A">
        <w:rPr>
          <w:rFonts w:ascii="Times New Roman" w:hAnsi="Times New Roman" w:cs="Times New Roman"/>
          <w:sz w:val="28"/>
          <w:szCs w:val="28"/>
        </w:rPr>
        <w:t xml:space="preserve">ебителей </w:t>
      </w:r>
      <w:r w:rsidRPr="00747C7A">
        <w:rPr>
          <w:rFonts w:ascii="Times New Roman" w:hAnsi="Times New Roman" w:cs="Times New Roman"/>
          <w:sz w:val="28"/>
          <w:szCs w:val="28"/>
        </w:rPr>
        <w:t>к электрическим сетям</w:t>
      </w:r>
      <w:r w:rsidRPr="00747C7A">
        <w:rPr>
          <w:rFonts w:ascii="Times New Roman" w:hAnsi="Times New Roman" w:cs="Times New Roman"/>
          <w:sz w:val="28"/>
          <w:szCs w:val="28"/>
        </w:rPr>
        <w:t xml:space="preserve">, а положительная практика по привлечению к административной ответственности по статье 9.21 КоАП РФ сетевых организаций будет использована в работе, а также </w:t>
      </w:r>
      <w:r w:rsidRPr="00747C7A">
        <w:rPr>
          <w:rFonts w:ascii="Times New Roman" w:hAnsi="Times New Roman" w:cs="Times New Roman"/>
          <w:sz w:val="28"/>
          <w:szCs w:val="28"/>
        </w:rPr>
        <w:t>направл</w:t>
      </w:r>
      <w:r w:rsidRPr="00747C7A">
        <w:rPr>
          <w:rFonts w:ascii="Times New Roman" w:hAnsi="Times New Roman" w:cs="Times New Roman"/>
          <w:sz w:val="28"/>
          <w:szCs w:val="28"/>
        </w:rPr>
        <w:t>ена</w:t>
      </w:r>
      <w:r w:rsidRPr="00747C7A">
        <w:rPr>
          <w:rFonts w:ascii="Times New Roman" w:hAnsi="Times New Roman" w:cs="Times New Roman"/>
          <w:sz w:val="28"/>
          <w:szCs w:val="28"/>
        </w:rPr>
        <w:t xml:space="preserve"> для использования в работе</w:t>
      </w:r>
      <w:r w:rsidRPr="00747C7A">
        <w:rPr>
          <w:rFonts w:ascii="Times New Roman" w:hAnsi="Times New Roman" w:cs="Times New Roman"/>
          <w:sz w:val="28"/>
          <w:szCs w:val="28"/>
        </w:rPr>
        <w:t xml:space="preserve"> другим территориальным органам</w:t>
      </w:r>
      <w:r w:rsidRPr="00747C7A">
        <w:rPr>
          <w:rFonts w:ascii="Times New Roman" w:hAnsi="Times New Roman" w:cs="Times New Roman"/>
          <w:sz w:val="28"/>
          <w:szCs w:val="28"/>
        </w:rPr>
        <w:t>.</w:t>
      </w:r>
    </w:p>
    <w:sectPr w:rsidR="00747C7A" w:rsidRPr="00747C7A" w:rsidSect="00E931B1">
      <w:footerReference w:type="default" r:id="rId4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61" w:rsidRDefault="00141461" w:rsidP="00141461">
      <w:pPr>
        <w:spacing w:after="0" w:line="240" w:lineRule="auto"/>
      </w:pPr>
      <w:r>
        <w:separator/>
      </w:r>
    </w:p>
  </w:endnote>
  <w:endnote w:type="continuationSeparator" w:id="0">
    <w:p w:rsidR="00141461" w:rsidRDefault="00141461" w:rsidP="00141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6801432"/>
      <w:docPartObj>
        <w:docPartGallery w:val="Page Numbers (Bottom of Page)"/>
        <w:docPartUnique/>
      </w:docPartObj>
    </w:sdtPr>
    <w:sdtEndPr/>
    <w:sdtContent>
      <w:p w:rsidR="00141461" w:rsidRDefault="001414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060">
          <w:rPr>
            <w:noProof/>
          </w:rPr>
          <w:t>13</w:t>
        </w:r>
        <w:r>
          <w:fldChar w:fldCharType="end"/>
        </w:r>
      </w:p>
    </w:sdtContent>
  </w:sdt>
  <w:p w:rsidR="00141461" w:rsidRDefault="001414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61" w:rsidRDefault="00141461" w:rsidP="00141461">
      <w:pPr>
        <w:spacing w:after="0" w:line="240" w:lineRule="auto"/>
      </w:pPr>
      <w:r>
        <w:separator/>
      </w:r>
    </w:p>
  </w:footnote>
  <w:footnote w:type="continuationSeparator" w:id="0">
    <w:p w:rsidR="00141461" w:rsidRDefault="00141461" w:rsidP="00141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6B39"/>
    <w:multiLevelType w:val="hybridMultilevel"/>
    <w:tmpl w:val="EED61486"/>
    <w:lvl w:ilvl="0" w:tplc="49A0F3A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2915EF"/>
    <w:multiLevelType w:val="hybridMultilevel"/>
    <w:tmpl w:val="6270E7F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170CB0"/>
    <w:multiLevelType w:val="hybridMultilevel"/>
    <w:tmpl w:val="4A6806A0"/>
    <w:lvl w:ilvl="0" w:tplc="6420B592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9963728"/>
    <w:multiLevelType w:val="hybridMultilevel"/>
    <w:tmpl w:val="7D9EB0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5085A"/>
    <w:multiLevelType w:val="hybridMultilevel"/>
    <w:tmpl w:val="5F9691C6"/>
    <w:lvl w:ilvl="0" w:tplc="DFAAF6B0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36581"/>
    <w:multiLevelType w:val="hybridMultilevel"/>
    <w:tmpl w:val="6F00E982"/>
    <w:lvl w:ilvl="0" w:tplc="6420B592">
      <w:start w:val="1"/>
      <w:numFmt w:val="upperRoman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6D0B1315"/>
    <w:multiLevelType w:val="hybridMultilevel"/>
    <w:tmpl w:val="69183712"/>
    <w:lvl w:ilvl="0" w:tplc="6420B592">
      <w:start w:val="1"/>
      <w:numFmt w:val="upperRoman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84"/>
    <w:rsid w:val="0001519C"/>
    <w:rsid w:val="00021FE2"/>
    <w:rsid w:val="00026BA6"/>
    <w:rsid w:val="0004300A"/>
    <w:rsid w:val="00052A59"/>
    <w:rsid w:val="000639F7"/>
    <w:rsid w:val="000760BD"/>
    <w:rsid w:val="000E02B4"/>
    <w:rsid w:val="000F3060"/>
    <w:rsid w:val="00132ABE"/>
    <w:rsid w:val="00135994"/>
    <w:rsid w:val="00141461"/>
    <w:rsid w:val="00157E8A"/>
    <w:rsid w:val="00157F59"/>
    <w:rsid w:val="001A46DA"/>
    <w:rsid w:val="001B3884"/>
    <w:rsid w:val="001B5DD6"/>
    <w:rsid w:val="001B5ECF"/>
    <w:rsid w:val="001C2C73"/>
    <w:rsid w:val="001D048A"/>
    <w:rsid w:val="001E1EAC"/>
    <w:rsid w:val="001E4101"/>
    <w:rsid w:val="001E5028"/>
    <w:rsid w:val="001E5933"/>
    <w:rsid w:val="001F7471"/>
    <w:rsid w:val="002033C2"/>
    <w:rsid w:val="00206B3E"/>
    <w:rsid w:val="00226746"/>
    <w:rsid w:val="0023680F"/>
    <w:rsid w:val="00241B68"/>
    <w:rsid w:val="00257F87"/>
    <w:rsid w:val="00260C56"/>
    <w:rsid w:val="00265B3B"/>
    <w:rsid w:val="002972B6"/>
    <w:rsid w:val="002D05DE"/>
    <w:rsid w:val="002D1F14"/>
    <w:rsid w:val="002F2374"/>
    <w:rsid w:val="0031034C"/>
    <w:rsid w:val="003300D0"/>
    <w:rsid w:val="00340A61"/>
    <w:rsid w:val="003527A3"/>
    <w:rsid w:val="003648A1"/>
    <w:rsid w:val="00380FB1"/>
    <w:rsid w:val="0039537C"/>
    <w:rsid w:val="003A50F2"/>
    <w:rsid w:val="003C625F"/>
    <w:rsid w:val="003C6D0F"/>
    <w:rsid w:val="003D7511"/>
    <w:rsid w:val="003F510E"/>
    <w:rsid w:val="003F60B8"/>
    <w:rsid w:val="003F67EE"/>
    <w:rsid w:val="00414BFF"/>
    <w:rsid w:val="0043331B"/>
    <w:rsid w:val="00433D23"/>
    <w:rsid w:val="00443ABB"/>
    <w:rsid w:val="00467895"/>
    <w:rsid w:val="00474EC1"/>
    <w:rsid w:val="00486375"/>
    <w:rsid w:val="004A18AF"/>
    <w:rsid w:val="004A4AFD"/>
    <w:rsid w:val="004A548D"/>
    <w:rsid w:val="004E6ADC"/>
    <w:rsid w:val="005075C0"/>
    <w:rsid w:val="00526496"/>
    <w:rsid w:val="0056061D"/>
    <w:rsid w:val="00563BCB"/>
    <w:rsid w:val="005A2089"/>
    <w:rsid w:val="005A3A10"/>
    <w:rsid w:val="005A5258"/>
    <w:rsid w:val="005E2866"/>
    <w:rsid w:val="005F1CD2"/>
    <w:rsid w:val="005F36A3"/>
    <w:rsid w:val="0060082B"/>
    <w:rsid w:val="0060200B"/>
    <w:rsid w:val="006333AC"/>
    <w:rsid w:val="006540C8"/>
    <w:rsid w:val="00686CAB"/>
    <w:rsid w:val="006A3427"/>
    <w:rsid w:val="006B2370"/>
    <w:rsid w:val="006D2386"/>
    <w:rsid w:val="006D69FA"/>
    <w:rsid w:val="006F177E"/>
    <w:rsid w:val="0072471E"/>
    <w:rsid w:val="00736966"/>
    <w:rsid w:val="00744715"/>
    <w:rsid w:val="00747C7A"/>
    <w:rsid w:val="007660F9"/>
    <w:rsid w:val="00782A5E"/>
    <w:rsid w:val="00783AD9"/>
    <w:rsid w:val="0079122B"/>
    <w:rsid w:val="007A1839"/>
    <w:rsid w:val="007A6D73"/>
    <w:rsid w:val="007B45FC"/>
    <w:rsid w:val="007B5EAE"/>
    <w:rsid w:val="007B6339"/>
    <w:rsid w:val="007D04CA"/>
    <w:rsid w:val="00807046"/>
    <w:rsid w:val="008134BF"/>
    <w:rsid w:val="00825248"/>
    <w:rsid w:val="00846942"/>
    <w:rsid w:val="00856E0A"/>
    <w:rsid w:val="00860493"/>
    <w:rsid w:val="00880873"/>
    <w:rsid w:val="008832AD"/>
    <w:rsid w:val="008E22B1"/>
    <w:rsid w:val="00907454"/>
    <w:rsid w:val="00937EB6"/>
    <w:rsid w:val="0096220B"/>
    <w:rsid w:val="009808BF"/>
    <w:rsid w:val="009841BE"/>
    <w:rsid w:val="00985018"/>
    <w:rsid w:val="00987B06"/>
    <w:rsid w:val="00996CDB"/>
    <w:rsid w:val="009B69B4"/>
    <w:rsid w:val="009C08E1"/>
    <w:rsid w:val="00A23436"/>
    <w:rsid w:val="00A6433C"/>
    <w:rsid w:val="00A70872"/>
    <w:rsid w:val="00AA302E"/>
    <w:rsid w:val="00B00DA3"/>
    <w:rsid w:val="00B20957"/>
    <w:rsid w:val="00B73554"/>
    <w:rsid w:val="00B85E78"/>
    <w:rsid w:val="00B8738A"/>
    <w:rsid w:val="00B87BB6"/>
    <w:rsid w:val="00B96532"/>
    <w:rsid w:val="00BA7BF5"/>
    <w:rsid w:val="00BC0B61"/>
    <w:rsid w:val="00BD32AA"/>
    <w:rsid w:val="00BD3D5E"/>
    <w:rsid w:val="00BE5DD9"/>
    <w:rsid w:val="00C212E6"/>
    <w:rsid w:val="00C23477"/>
    <w:rsid w:val="00C26D08"/>
    <w:rsid w:val="00C60D56"/>
    <w:rsid w:val="00C60F6A"/>
    <w:rsid w:val="00C759E7"/>
    <w:rsid w:val="00C83FBB"/>
    <w:rsid w:val="00C85278"/>
    <w:rsid w:val="00C87AF1"/>
    <w:rsid w:val="00CB6B4B"/>
    <w:rsid w:val="00CE5275"/>
    <w:rsid w:val="00CF07C6"/>
    <w:rsid w:val="00CF6498"/>
    <w:rsid w:val="00CF6A5D"/>
    <w:rsid w:val="00D078C3"/>
    <w:rsid w:val="00D44B22"/>
    <w:rsid w:val="00D64D00"/>
    <w:rsid w:val="00D71A44"/>
    <w:rsid w:val="00D77740"/>
    <w:rsid w:val="00D802C5"/>
    <w:rsid w:val="00D823AB"/>
    <w:rsid w:val="00D974AE"/>
    <w:rsid w:val="00DB5C8E"/>
    <w:rsid w:val="00DD0004"/>
    <w:rsid w:val="00DE5A7D"/>
    <w:rsid w:val="00DE5FFF"/>
    <w:rsid w:val="00E314BF"/>
    <w:rsid w:val="00E34E48"/>
    <w:rsid w:val="00E42319"/>
    <w:rsid w:val="00E6249C"/>
    <w:rsid w:val="00E63E6A"/>
    <w:rsid w:val="00E73C21"/>
    <w:rsid w:val="00E741B9"/>
    <w:rsid w:val="00E81783"/>
    <w:rsid w:val="00E931B1"/>
    <w:rsid w:val="00E935E0"/>
    <w:rsid w:val="00EA7376"/>
    <w:rsid w:val="00EC20E1"/>
    <w:rsid w:val="00EC44DC"/>
    <w:rsid w:val="00EE4160"/>
    <w:rsid w:val="00EF3CD6"/>
    <w:rsid w:val="00F02181"/>
    <w:rsid w:val="00F3055A"/>
    <w:rsid w:val="00F3678A"/>
    <w:rsid w:val="00F71B74"/>
    <w:rsid w:val="00F76254"/>
    <w:rsid w:val="00F87F17"/>
    <w:rsid w:val="00F97A77"/>
    <w:rsid w:val="00FA4588"/>
    <w:rsid w:val="00FB167D"/>
    <w:rsid w:val="00FB5B07"/>
    <w:rsid w:val="00FE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55CEE-C6F7-48D4-BEC7-A2F3DF9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942"/>
    <w:pPr>
      <w:ind w:left="720"/>
      <w:contextualSpacing/>
    </w:pPr>
  </w:style>
  <w:style w:type="paragraph" w:styleId="2">
    <w:name w:val="Body Text 2"/>
    <w:basedOn w:val="a"/>
    <w:link w:val="20"/>
    <w:rsid w:val="007660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660F9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5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527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461"/>
  </w:style>
  <w:style w:type="paragraph" w:styleId="a8">
    <w:name w:val="footer"/>
    <w:basedOn w:val="a"/>
    <w:link w:val="a9"/>
    <w:uiPriority w:val="99"/>
    <w:unhideWhenUsed/>
    <w:rsid w:val="00141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22AED5F5F14EE7EB129C30705E4F07369E021D403F7A91CE4C97FF713CC699B80EA5278C466E05A337C0529EF08CF23ABBDACE37FCEC80S3h0N" TargetMode="External"/><Relationship Id="rId18" Type="http://schemas.openxmlformats.org/officeDocument/2006/relationships/hyperlink" Target="consultantplus://offline/ref=99BEEAB0C6ACC1BD457D7C829CF543C6FF8E2BF8D330C24B3FBDBD4F913A1DF97BE3F0BE9A42CE3B330480FC7D9DC06C07133D2471A1B74AH1b7N" TargetMode="External"/><Relationship Id="rId26" Type="http://schemas.openxmlformats.org/officeDocument/2006/relationships/hyperlink" Target="consultantplus://offline/ref=99BEEAB0C6ACC1BD457D7C829CF543C6FF8E2BF8D330C24B3FBDBD4F913A1DF97BE3F0BE9A42CD333B0480FC7D9DC06C07133D2471A1B74AH1b7N" TargetMode="External"/><Relationship Id="rId39" Type="http://schemas.openxmlformats.org/officeDocument/2006/relationships/hyperlink" Target="consultantplus://offline/ref=6423E9C5FD1CACE318990C6C9DE4136A4EBEE21BDFC5FE916BA3C6F2E1115EF11731196357BD00AD613163C655F9C92B70036CC700F4B3BD0DB8G" TargetMode="External"/><Relationship Id="rId21" Type="http://schemas.openxmlformats.org/officeDocument/2006/relationships/hyperlink" Target="consultantplus://offline/ref=99BEEAB0C6ACC1BD457D7C829CF543C6FF8E2BF8D330C24B3FBDBD4F913A1DF97BE3F0BD9C43CB38675E90F834C8C972020D22266FA1HBb4N" TargetMode="External"/><Relationship Id="rId34" Type="http://schemas.openxmlformats.org/officeDocument/2006/relationships/hyperlink" Target="consultantplus://offline/ref=5A2EF8EACD079119ED2884DB70386C0C1939B605C78617E45637886CDBED8C634B857516F5CD8D2CA2C2DE5B6EV72FH" TargetMode="External"/><Relationship Id="rId42" Type="http://schemas.openxmlformats.org/officeDocument/2006/relationships/hyperlink" Target="consultantplus://offline/ref=6423E9C5FD1CACE318990C6C9DE4136A4EBEE21BDFC5FE916BA3C6F2E1115EF11731196357BC07AD683163C655F9C92B70036CC700F4B3BD0DB8G" TargetMode="External"/><Relationship Id="rId47" Type="http://schemas.openxmlformats.org/officeDocument/2006/relationships/footer" Target="footer1.xml"/><Relationship Id="rId7" Type="http://schemas.openxmlformats.org/officeDocument/2006/relationships/hyperlink" Target="consultantplus://offline/ref=F644E8CE42146BB084E58556151EED6DCEB2A9E8660E61079B7F87DF27388E538C7D3F56AFA3B68F0Dq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44B19559F647B76E833B7AA1582DB10679B526D18FC5535971F16DF152FD05340EC0296A578A60BC254D43CB5488479F302FFC48AABDCBs0iCN" TargetMode="External"/><Relationship Id="rId29" Type="http://schemas.openxmlformats.org/officeDocument/2006/relationships/hyperlink" Target="consultantplus://offline/ref=99BEEAB0C6ACC1BD457D7C829CF543C6FF8E2BF8D330C24B3FBDBD4F913A1DF97BE3F0BD9F44C738675E90F834C8C972020D22266FA1HBb4N" TargetMode="External"/><Relationship Id="rId11" Type="http://schemas.openxmlformats.org/officeDocument/2006/relationships/hyperlink" Target="consultantplus://offline/ref=F81187D79E3947F78175C150488419F37AA13606FE56107EB5AC72B54B59B45B3FF22ECBAC3717EB132EED4C223FD8DEC6CACEB07972L7XFN" TargetMode="External"/><Relationship Id="rId24" Type="http://schemas.openxmlformats.org/officeDocument/2006/relationships/hyperlink" Target="consultantplus://offline/ref=99BEEAB0C6ACC1BD457D7C829CF543C6FF8E2BF8D330C24B3FBDBD4F913A1DF97BE3F0BD9F4AC638675E90F834C8C972020D22266FA1HBb4N" TargetMode="External"/><Relationship Id="rId32" Type="http://schemas.openxmlformats.org/officeDocument/2006/relationships/hyperlink" Target="consultantplus://offline/ref=132BFCC0788F7770020B1C6AC1F78D93DE507496565B5C74D13C43B9448E3E6CD54C48CC0EA7D4753E67E05BB067EB37A97817C3C4wAV6J" TargetMode="External"/><Relationship Id="rId37" Type="http://schemas.openxmlformats.org/officeDocument/2006/relationships/hyperlink" Target="consultantplus://offline/ref=5A2EF8EACD079119ED2884DB70386C0C1831B40AC28317E45637886CDBED8C6359852D1AF5C9902CADD7880A2829F91623B7D4225E33043BVE2FH" TargetMode="External"/><Relationship Id="rId40" Type="http://schemas.openxmlformats.org/officeDocument/2006/relationships/hyperlink" Target="consultantplus://offline/ref=6423E9C5FD1CACE318990C6C9DE4136A4EBEE21BDFC5FE916BA3C6F2E1115EF11731196357BD01AD6A3163C655F9C92B70036CC700F4B3BD0DB8G" TargetMode="External"/><Relationship Id="rId45" Type="http://schemas.openxmlformats.org/officeDocument/2006/relationships/hyperlink" Target="consultantplus://offline/ref=6423E9C5FD1CACE318990C6C9DE4136A4EBEE21BDFC5FE916BA3C6F2E1115EF11731196457B50CF1397E629A10AADA2A70036EC11C0FB5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44B19559F647B76E833B7AA1582DB1067FBA26D882C5535971F16DF152FD05340EC02A695E8F6AEC7F5D47820186599D2E30FE56AAsBiEN" TargetMode="External"/><Relationship Id="rId23" Type="http://schemas.openxmlformats.org/officeDocument/2006/relationships/hyperlink" Target="consultantplus://offline/ref=99BEEAB0C6ACC1BD457D7C829CF543C6FF8E2BF8D330C24B3FBDBD4F913A1DF97BE3F0BD9F4BCB38675E90F834C8C972020D22266FA1HBb4N" TargetMode="External"/><Relationship Id="rId28" Type="http://schemas.openxmlformats.org/officeDocument/2006/relationships/hyperlink" Target="consultantplus://offline/ref=99BEEAB0C6ACC1BD457D7C829CF543C6FF8F2FF1DA3BC24B3FBDBD4F913A1DF97BE3F0BE9A43CE31320480FC7D9DC06C07133D2471A1B74AH1b7N" TargetMode="External"/><Relationship Id="rId36" Type="http://schemas.openxmlformats.org/officeDocument/2006/relationships/hyperlink" Target="consultantplus://offline/ref=5A2EF8EACD079119ED2884DB70386C0C1831B40AC28317E45637886CDBED8C6359852D1AF5C99324A5D7880A2829F91623B7D4225E33043BVE2F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226DCA4BA09A8BC4220ECD3FC7348700C1ED29171761F5D9262B80C4A25B86C8E3725F33FBADBCFCF13A79E82E3960F4A285E1A75DCG9W5N" TargetMode="External"/><Relationship Id="rId19" Type="http://schemas.openxmlformats.org/officeDocument/2006/relationships/hyperlink" Target="consultantplus://offline/ref=99BEEAB0C6ACC1BD457D7C829CF543C6FF8E2BF8D330C24B3FBDBD4F913A1DF97BE3F0BD9F4BCB38675E90F834C8C972020D22266FA1HBb4N" TargetMode="External"/><Relationship Id="rId31" Type="http://schemas.openxmlformats.org/officeDocument/2006/relationships/hyperlink" Target="consultantplus://offline/ref=99BEEAB0C6ACC1BD457D7C829CF543C6FF8E2BF8D330C24B3FBDBD4F913A1DF97BE3F0BD9E40CA38675E90F834C8C972020D22266FA1HBb4N" TargetMode="External"/><Relationship Id="rId44" Type="http://schemas.openxmlformats.org/officeDocument/2006/relationships/hyperlink" Target="consultantplus://offline/ref=6423E9C5FD1CACE318990C6C9DE4136A4EBEE21BDFC5FE916BA3C6F2E1115EF11731196357BD01AD6A3163C655F9C92B70036CC700F4B3BD0DB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26DCA4BA09A8BC4220ECD3FC7348700C1ED29171761F5D9262B80C4A25B86C8E3725F034BADBCFCF13A79E82E3960F4A285E1A75DCG9W5N" TargetMode="External"/><Relationship Id="rId14" Type="http://schemas.openxmlformats.org/officeDocument/2006/relationships/hyperlink" Target="consultantplus://offline/ref=3122AED5F5F14EE7EB129C30705E4F07369E021D403F7A91CE4C97FF713CC699B80EA5278C466E02A237C0529EF08CF23ABBDACE37FCEC80S3h0N" TargetMode="External"/><Relationship Id="rId22" Type="http://schemas.openxmlformats.org/officeDocument/2006/relationships/hyperlink" Target="consultantplus://offline/ref=99BEEAB0C6ACC1BD457D7C829CF543C6FF8E2BF8D330C24B3FBDBD4F913A1DF97BE3F0BE9A42CD33370480FC7D9DC06C07133D2471A1B74AH1b7N" TargetMode="External"/><Relationship Id="rId27" Type="http://schemas.openxmlformats.org/officeDocument/2006/relationships/hyperlink" Target="consultantplus://offline/ref=99BEEAB0C6ACC1BD457D7C829CF543C6FF8E2BF8D330C24B3FBDBD4F913A1DF97BE3F0BC9842CD38675E90F834C8C972020D22266FA1HBb4N" TargetMode="External"/><Relationship Id="rId30" Type="http://schemas.openxmlformats.org/officeDocument/2006/relationships/hyperlink" Target="consultantplus://offline/ref=99BEEAB0C6ACC1BD457D7C829CF543C6FF8E2BF8D330C24B3FBDBD4F913A1DF97BE3F0BD9F4ACF38675E90F834C8C972020D22266FA1HBb4N" TargetMode="External"/><Relationship Id="rId35" Type="http://schemas.openxmlformats.org/officeDocument/2006/relationships/hyperlink" Target="consultantplus://offline/ref=5A2EF8EACD079119ED2884DB70386C0C1831B40AC28317E45637886CDBED8C6359852D1AF5C9902CA1D7880A2829F91623B7D4225E33043BVE2FH" TargetMode="External"/><Relationship Id="rId43" Type="http://schemas.openxmlformats.org/officeDocument/2006/relationships/hyperlink" Target="consultantplus://offline/ref=6423E9C5FD1CACE318990C6C9DE4136A4EBEE21BDFC5FE916BA3C6F2E1115EF11731196357BD00AD613163C655F9C92B70036CC700F4B3BD0DB8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226DCA4BA09A8BC4220ECD3FC7348700C19D09573711F5D9262B80C4A25B86C8E3725F33AB8D790CA06B6C68EE58F11423E421877GDWD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122AED5F5F14EE7EB129C30705E4F07369E021D403F7A91CE4C97FF713CC699B80EA5278C46610CA237C0529EF08CF23ABBDACE37FCEC80S3h0N" TargetMode="External"/><Relationship Id="rId17" Type="http://schemas.openxmlformats.org/officeDocument/2006/relationships/hyperlink" Target="consultantplus://offline/ref=99BEEAB0C6ACC1BD457D7C829CF543C6FF8E2BF8D330C24B3FBDBD4F913A1DF97BE3F0BE9A42CD33370480FC7D9DC06C07133D2471A1B74AH1b7N" TargetMode="External"/><Relationship Id="rId25" Type="http://schemas.openxmlformats.org/officeDocument/2006/relationships/hyperlink" Target="consultantplus://offline/ref=99BEEAB0C6ACC1BD457D7C829CF543C6FF8E2BF8D330C24B3FBDBD4F913A1DF97BE3F0BE9A42CE3B330480FC7D9DC06C07133D2471A1B74AH1b7N" TargetMode="External"/><Relationship Id="rId33" Type="http://schemas.openxmlformats.org/officeDocument/2006/relationships/hyperlink" Target="consultantplus://offline/ref=132BFCC0788F7770020B1C6AC1F78D93DE507496565B5C74D13C43B9448E3E6CD54C48CF07AED4753E67E05BB067EB37A97817C3C4wAV6J" TargetMode="External"/><Relationship Id="rId38" Type="http://schemas.openxmlformats.org/officeDocument/2006/relationships/hyperlink" Target="consultantplus://offline/ref=1A5642856236C740842BDBE341AE8CA0935C472EE13DAAD79A74BDEACBAD632C4EC65B7D37C5F2D0413E112DE661v3H" TargetMode="External"/><Relationship Id="rId46" Type="http://schemas.openxmlformats.org/officeDocument/2006/relationships/hyperlink" Target="consultantplus://offline/ref=6423E9C5FD1CACE318990C6C9DE4136A4EBEE21BDFC5FE916BA3C6F2E1115EF11731196357BC07AD683163C655F9C92B70036CC700F4B3BD0DB8G" TargetMode="External"/><Relationship Id="rId20" Type="http://schemas.openxmlformats.org/officeDocument/2006/relationships/hyperlink" Target="consultantplus://offline/ref=99BEEAB0C6ACC1BD457D7C829CF543C6FF8E2BF8D330C24B3FBDBD4F913A1DF97BE3F0BD9F4AC638675E90F834C8C972020D22266FA1HBb4N" TargetMode="External"/><Relationship Id="rId41" Type="http://schemas.openxmlformats.org/officeDocument/2006/relationships/hyperlink" Target="consultantplus://offline/ref=6423E9C5FD1CACE318990C6C9DE4136A4EBEE21BDFC5FE916BA3C6F2E1115EF11731196457B50CF1397E629A10AADA2A70036EC11C0FB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4381</Words>
  <Characters>24974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Юрьевна Трясучкина</dc:creator>
  <cp:lastModifiedBy>Елена Юрьевна Трясучкина</cp:lastModifiedBy>
  <cp:revision>40</cp:revision>
  <cp:lastPrinted>2020-06-16T08:01:00Z</cp:lastPrinted>
  <dcterms:created xsi:type="dcterms:W3CDTF">2023-10-03T13:18:00Z</dcterms:created>
  <dcterms:modified xsi:type="dcterms:W3CDTF">2023-10-19T09:03:00Z</dcterms:modified>
</cp:coreProperties>
</file>